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E2BAD" w14:textId="77777777" w:rsidR="0049604E" w:rsidRDefault="0049604E" w:rsidP="0049604E">
      <w:pPr>
        <w:tabs>
          <w:tab w:val="left" w:pos="4320"/>
        </w:tabs>
        <w:rPr>
          <w:rFonts w:ascii="Arial" w:hAnsi="Arial" w:cs="Arial"/>
          <w:b/>
          <w:bCs/>
          <w:sz w:val="22"/>
        </w:rPr>
      </w:pPr>
      <w:r>
        <w:rPr>
          <w:rFonts w:ascii="Arial" w:hAnsi="Arial" w:cs="Arial"/>
          <w:b/>
          <w:bCs/>
        </w:rPr>
        <w:t xml:space="preserve">EFFECTIVE:  </w:t>
      </w:r>
      <w:r w:rsidRPr="005C132A">
        <w:rPr>
          <w:rFonts w:ascii="Arial" w:hAnsi="Arial" w:cs="Arial"/>
          <w:b/>
          <w:sz w:val="22"/>
          <w:szCs w:val="22"/>
        </w:rPr>
        <w:t>Immediately</w:t>
      </w:r>
      <w:r>
        <w:rPr>
          <w:rFonts w:ascii="Arial" w:hAnsi="Arial" w:cs="Arial"/>
          <w:b/>
          <w:bCs/>
          <w:sz w:val="22"/>
        </w:rPr>
        <w:tab/>
        <w:t xml:space="preserve">                                  </w:t>
      </w:r>
      <w:r>
        <w:rPr>
          <w:rFonts w:ascii="Arial" w:hAnsi="Arial" w:cs="Arial"/>
          <w:b/>
          <w:bCs/>
        </w:rPr>
        <w:t xml:space="preserve"> Written:  </w:t>
      </w:r>
      <w:r>
        <w:rPr>
          <w:rFonts w:ascii="Arial" w:hAnsi="Arial" w:cs="Arial"/>
          <w:b/>
          <w:sz w:val="22"/>
          <w:szCs w:val="22"/>
        </w:rPr>
        <w:t>February, 2020</w:t>
      </w:r>
    </w:p>
    <w:tbl>
      <w:tblPr>
        <w:tblW w:w="9360" w:type="dxa"/>
        <w:tblLook w:val="0000" w:firstRow="0" w:lastRow="0" w:firstColumn="0" w:lastColumn="0" w:noHBand="0" w:noVBand="0"/>
      </w:tblPr>
      <w:tblGrid>
        <w:gridCol w:w="1696"/>
        <w:gridCol w:w="7664"/>
      </w:tblGrid>
      <w:tr w:rsidR="0049604E" w14:paraId="1C2E2BB0" w14:textId="77777777" w:rsidTr="001F2AAB">
        <w:trPr>
          <w:trHeight w:val="81"/>
        </w:trPr>
        <w:tc>
          <w:tcPr>
            <w:tcW w:w="1696" w:type="dxa"/>
          </w:tcPr>
          <w:p w14:paraId="1C2E2BAE" w14:textId="77777777" w:rsidR="0049604E" w:rsidRDefault="0049604E" w:rsidP="001F2AAB">
            <w:pPr>
              <w:rPr>
                <w:rFonts w:ascii="Arial" w:hAnsi="Arial" w:cs="Arial"/>
                <w:b/>
                <w:bCs/>
                <w:sz w:val="22"/>
              </w:rPr>
            </w:pPr>
          </w:p>
        </w:tc>
        <w:tc>
          <w:tcPr>
            <w:tcW w:w="7664" w:type="dxa"/>
          </w:tcPr>
          <w:p w14:paraId="1C2E2BAF" w14:textId="77777777" w:rsidR="0049604E" w:rsidRDefault="0049604E" w:rsidP="001F2AAB">
            <w:pPr>
              <w:rPr>
                <w:rFonts w:ascii="Arial" w:hAnsi="Arial" w:cs="Arial"/>
                <w:b/>
                <w:bCs/>
                <w:sz w:val="22"/>
              </w:rPr>
            </w:pPr>
          </w:p>
        </w:tc>
      </w:tr>
      <w:tr w:rsidR="0049604E" w14:paraId="1C2E2BB5" w14:textId="77777777" w:rsidTr="001F2AAB">
        <w:tc>
          <w:tcPr>
            <w:tcW w:w="1696" w:type="dxa"/>
          </w:tcPr>
          <w:p w14:paraId="1C2E2BB1" w14:textId="77777777" w:rsidR="0049604E" w:rsidRDefault="0049604E" w:rsidP="001F2AAB">
            <w:pPr>
              <w:rPr>
                <w:rFonts w:ascii="Arial" w:hAnsi="Arial" w:cs="Arial"/>
              </w:rPr>
            </w:pPr>
            <w:r>
              <w:rPr>
                <w:rFonts w:ascii="Arial" w:hAnsi="Arial" w:cs="Arial"/>
                <w:b/>
                <w:bCs/>
              </w:rPr>
              <w:t>PURPOSE:</w:t>
            </w:r>
          </w:p>
          <w:p w14:paraId="1C2E2BB2" w14:textId="77777777" w:rsidR="0049604E" w:rsidRDefault="0049604E" w:rsidP="001F2AAB">
            <w:pPr>
              <w:rPr>
                <w:rFonts w:ascii="Arial" w:hAnsi="Arial" w:cs="Arial"/>
                <w:b/>
                <w:bCs/>
              </w:rPr>
            </w:pPr>
          </w:p>
        </w:tc>
        <w:tc>
          <w:tcPr>
            <w:tcW w:w="7664" w:type="dxa"/>
          </w:tcPr>
          <w:p w14:paraId="1C2E2BB3" w14:textId="77777777" w:rsidR="0049604E" w:rsidRDefault="0049604E" w:rsidP="001F2AAB">
            <w:pPr>
              <w:rPr>
                <w:rFonts w:ascii="Arial" w:hAnsi="Arial"/>
                <w:sz w:val="20"/>
              </w:rPr>
            </w:pPr>
            <w:r>
              <w:rPr>
                <w:rFonts w:ascii="Arial" w:hAnsi="Arial"/>
                <w:sz w:val="20"/>
              </w:rPr>
              <w:t>To explain how information may be shared between staff and how case tasks may be assigned.</w:t>
            </w:r>
          </w:p>
          <w:p w14:paraId="1C2E2BB4" w14:textId="77777777" w:rsidR="0049604E" w:rsidRPr="001F4550" w:rsidRDefault="0049604E" w:rsidP="001F2AAB">
            <w:pPr>
              <w:jc w:val="both"/>
              <w:rPr>
                <w:rFonts w:ascii="Arial" w:hAnsi="Arial" w:cs="Arial"/>
                <w:sz w:val="20"/>
                <w:szCs w:val="20"/>
              </w:rPr>
            </w:pPr>
          </w:p>
        </w:tc>
      </w:tr>
      <w:tr w:rsidR="0049604E" w14:paraId="1C2E2BB9" w14:textId="77777777" w:rsidTr="001F2AAB">
        <w:trPr>
          <w:trHeight w:val="360"/>
        </w:trPr>
        <w:tc>
          <w:tcPr>
            <w:tcW w:w="1696" w:type="dxa"/>
          </w:tcPr>
          <w:p w14:paraId="1C2E2BB6" w14:textId="77777777" w:rsidR="0049604E" w:rsidRDefault="0049604E" w:rsidP="001F2AAB">
            <w:pPr>
              <w:rPr>
                <w:rFonts w:ascii="Arial" w:hAnsi="Arial" w:cs="Arial"/>
              </w:rPr>
            </w:pPr>
            <w:r>
              <w:rPr>
                <w:rFonts w:ascii="Arial" w:hAnsi="Arial" w:cs="Arial"/>
                <w:b/>
                <w:bCs/>
              </w:rPr>
              <w:t>SCOPE:</w:t>
            </w:r>
          </w:p>
          <w:p w14:paraId="1C2E2BB7" w14:textId="77777777" w:rsidR="0049604E" w:rsidRDefault="0049604E" w:rsidP="001F2AAB">
            <w:pPr>
              <w:rPr>
                <w:rFonts w:ascii="Arial" w:hAnsi="Arial" w:cs="Arial"/>
                <w:b/>
                <w:bCs/>
              </w:rPr>
            </w:pPr>
          </w:p>
        </w:tc>
        <w:tc>
          <w:tcPr>
            <w:tcW w:w="7664" w:type="dxa"/>
          </w:tcPr>
          <w:p w14:paraId="1C2E2BB8" w14:textId="77777777" w:rsidR="0049604E" w:rsidRPr="004C7447" w:rsidRDefault="0049604E" w:rsidP="001F2AAB">
            <w:pPr>
              <w:jc w:val="both"/>
              <w:rPr>
                <w:rFonts w:ascii="Arial" w:hAnsi="Arial"/>
                <w:sz w:val="20"/>
              </w:rPr>
            </w:pPr>
            <w:r>
              <w:rPr>
                <w:rFonts w:ascii="Arial" w:hAnsi="Arial"/>
                <w:sz w:val="20"/>
              </w:rPr>
              <w:t>This guideline applies to sworn PCCO personnel.</w:t>
            </w:r>
          </w:p>
        </w:tc>
      </w:tr>
      <w:tr w:rsidR="0049604E" w14:paraId="1C2E2BCA" w14:textId="77777777" w:rsidTr="001F2AAB">
        <w:tc>
          <w:tcPr>
            <w:tcW w:w="1696" w:type="dxa"/>
          </w:tcPr>
          <w:p w14:paraId="1C2E2BBA" w14:textId="77777777" w:rsidR="0049604E" w:rsidRDefault="0049604E" w:rsidP="001F2AAB">
            <w:pPr>
              <w:jc w:val="both"/>
              <w:rPr>
                <w:rFonts w:ascii="Arial" w:hAnsi="Arial" w:cs="Arial"/>
                <w:i/>
                <w:iCs/>
              </w:rPr>
            </w:pPr>
            <w:r>
              <w:rPr>
                <w:rFonts w:ascii="Arial" w:hAnsi="Arial" w:cs="Arial"/>
                <w:b/>
                <w:bCs/>
              </w:rPr>
              <w:t>GUIDELINE:</w:t>
            </w:r>
          </w:p>
          <w:p w14:paraId="1C2E2BBB" w14:textId="77777777" w:rsidR="0049604E" w:rsidRDefault="0049604E" w:rsidP="001F2AAB">
            <w:pPr>
              <w:rPr>
                <w:rFonts w:ascii="Arial" w:hAnsi="Arial" w:cs="Arial"/>
                <w:b/>
                <w:bCs/>
              </w:rPr>
            </w:pPr>
          </w:p>
        </w:tc>
        <w:tc>
          <w:tcPr>
            <w:tcW w:w="7664" w:type="dxa"/>
          </w:tcPr>
          <w:p w14:paraId="1C2E2BBC" w14:textId="77777777" w:rsidR="0049604E" w:rsidRDefault="0049604E" w:rsidP="001F2AAB">
            <w:pPr>
              <w:jc w:val="both"/>
              <w:rPr>
                <w:rFonts w:ascii="Arial" w:hAnsi="Arial"/>
                <w:sz w:val="20"/>
              </w:rPr>
            </w:pPr>
            <w:r>
              <w:rPr>
                <w:rFonts w:ascii="Arial" w:hAnsi="Arial"/>
                <w:sz w:val="20"/>
              </w:rPr>
              <w:t>After a case is began to be investigated each Deputy Coroner shall communicate to the Coroner or Senior Deputy Coroner basic information and any concerns about the case. If assistance is needed with any tasks the following methods shall be utilized.</w:t>
            </w:r>
          </w:p>
          <w:p w14:paraId="1C2E2BBD" w14:textId="77777777" w:rsidR="0049604E" w:rsidRDefault="0049604E" w:rsidP="001F2AAB">
            <w:pPr>
              <w:jc w:val="both"/>
              <w:rPr>
                <w:rFonts w:ascii="Arial" w:hAnsi="Arial"/>
                <w:sz w:val="20"/>
              </w:rPr>
            </w:pPr>
          </w:p>
          <w:p w14:paraId="1C2E2BBE" w14:textId="77777777" w:rsidR="0049604E" w:rsidRDefault="0049604E" w:rsidP="0049604E">
            <w:pPr>
              <w:numPr>
                <w:ilvl w:val="0"/>
                <w:numId w:val="1"/>
              </w:numPr>
              <w:jc w:val="both"/>
              <w:rPr>
                <w:rFonts w:ascii="Arial" w:hAnsi="Arial"/>
                <w:sz w:val="20"/>
              </w:rPr>
            </w:pPr>
            <w:r>
              <w:rPr>
                <w:rFonts w:ascii="Arial" w:hAnsi="Arial"/>
                <w:sz w:val="20"/>
              </w:rPr>
              <w:t xml:space="preserve">PHONE is the primary contact to other staff members to ask for assistance. </w:t>
            </w:r>
          </w:p>
          <w:p w14:paraId="1C2E2BBF" w14:textId="77777777" w:rsidR="0049604E" w:rsidRDefault="0049604E" w:rsidP="001F2AAB">
            <w:pPr>
              <w:ind w:left="360"/>
              <w:jc w:val="both"/>
              <w:rPr>
                <w:rFonts w:ascii="Arial" w:hAnsi="Arial"/>
                <w:sz w:val="20"/>
              </w:rPr>
            </w:pPr>
          </w:p>
          <w:p w14:paraId="1C2E2BC0" w14:textId="77777777" w:rsidR="0049604E" w:rsidRDefault="0049604E" w:rsidP="0049604E">
            <w:pPr>
              <w:numPr>
                <w:ilvl w:val="0"/>
                <w:numId w:val="1"/>
              </w:numPr>
              <w:jc w:val="both"/>
              <w:rPr>
                <w:rFonts w:ascii="Arial" w:hAnsi="Arial"/>
                <w:sz w:val="20"/>
              </w:rPr>
            </w:pPr>
            <w:r>
              <w:rPr>
                <w:rFonts w:ascii="Arial" w:hAnsi="Arial"/>
                <w:sz w:val="20"/>
              </w:rPr>
              <w:t>REPORT shall be viewable by staff in the coronerme.com system. This can be reviewed as to whether a task has been completed or not.</w:t>
            </w:r>
          </w:p>
          <w:p w14:paraId="1C2E2BC1" w14:textId="77777777" w:rsidR="0049604E" w:rsidRDefault="0049604E" w:rsidP="001F2AAB">
            <w:pPr>
              <w:ind w:left="360"/>
              <w:jc w:val="both"/>
              <w:rPr>
                <w:rFonts w:ascii="Arial" w:hAnsi="Arial"/>
                <w:sz w:val="20"/>
              </w:rPr>
            </w:pPr>
          </w:p>
          <w:p w14:paraId="1C2E2BC2" w14:textId="77777777" w:rsidR="0049604E" w:rsidRDefault="0049604E" w:rsidP="0049604E">
            <w:pPr>
              <w:numPr>
                <w:ilvl w:val="0"/>
                <w:numId w:val="1"/>
              </w:numPr>
              <w:jc w:val="both"/>
              <w:rPr>
                <w:rFonts w:ascii="Arial" w:hAnsi="Arial"/>
                <w:sz w:val="20"/>
              </w:rPr>
            </w:pPr>
            <w:r>
              <w:rPr>
                <w:rFonts w:ascii="Arial" w:hAnsi="Arial"/>
                <w:sz w:val="20"/>
              </w:rPr>
              <w:t xml:space="preserve">EMAIL shall be utilized to clarify task needing assistance. </w:t>
            </w:r>
          </w:p>
          <w:p w14:paraId="1C2E2BC3" w14:textId="77777777" w:rsidR="0049604E" w:rsidRDefault="0049604E" w:rsidP="001F2AAB">
            <w:pPr>
              <w:jc w:val="both"/>
              <w:rPr>
                <w:rFonts w:ascii="Arial" w:hAnsi="Arial"/>
                <w:sz w:val="20"/>
              </w:rPr>
            </w:pPr>
          </w:p>
          <w:p w14:paraId="1C2E2BC4" w14:textId="77777777" w:rsidR="0049604E" w:rsidRDefault="0049604E" w:rsidP="001F2AAB">
            <w:pPr>
              <w:jc w:val="both"/>
              <w:rPr>
                <w:rFonts w:ascii="Arial" w:hAnsi="Arial"/>
                <w:sz w:val="20"/>
              </w:rPr>
            </w:pPr>
            <w:r>
              <w:rPr>
                <w:rFonts w:ascii="Arial" w:hAnsi="Arial"/>
                <w:sz w:val="20"/>
              </w:rPr>
              <w:t xml:space="preserve">     </w:t>
            </w:r>
          </w:p>
          <w:p w14:paraId="1C2E2BC5" w14:textId="77777777" w:rsidR="0049604E" w:rsidRDefault="0049604E" w:rsidP="0049604E">
            <w:pPr>
              <w:numPr>
                <w:ilvl w:val="0"/>
                <w:numId w:val="1"/>
              </w:numPr>
              <w:jc w:val="both"/>
              <w:rPr>
                <w:rFonts w:ascii="Arial" w:hAnsi="Arial"/>
                <w:sz w:val="20"/>
              </w:rPr>
            </w:pPr>
            <w:r>
              <w:rPr>
                <w:rFonts w:ascii="Arial" w:hAnsi="Arial"/>
                <w:sz w:val="20"/>
              </w:rPr>
              <w:t xml:space="preserve">BOARD in the morgue shall be reviewed prior to any action of releasing any item of the case to see if the case is marked by the primary PCCO staff as on hold, contact with the primary PCCO staff will be required prior to releasing any items. Board will show if property, toxicology specimens and body are still present for the case. </w:t>
            </w:r>
          </w:p>
          <w:p w14:paraId="1C2E2BC6" w14:textId="77777777" w:rsidR="0049604E" w:rsidRDefault="0049604E" w:rsidP="001F2AAB">
            <w:pPr>
              <w:ind w:left="360"/>
              <w:jc w:val="both"/>
              <w:rPr>
                <w:rFonts w:ascii="Arial" w:hAnsi="Arial"/>
                <w:sz w:val="20"/>
              </w:rPr>
            </w:pPr>
          </w:p>
          <w:p w14:paraId="1C2E2BC7" w14:textId="77777777" w:rsidR="0049604E" w:rsidRDefault="0049604E" w:rsidP="0049604E">
            <w:pPr>
              <w:numPr>
                <w:ilvl w:val="0"/>
                <w:numId w:val="1"/>
              </w:numPr>
              <w:jc w:val="both"/>
              <w:rPr>
                <w:rFonts w:ascii="Arial" w:hAnsi="Arial"/>
                <w:sz w:val="20"/>
              </w:rPr>
            </w:pPr>
            <w:r>
              <w:rPr>
                <w:rFonts w:ascii="Arial" w:hAnsi="Arial"/>
                <w:sz w:val="20"/>
              </w:rPr>
              <w:t>NOTES may also be left after phone or email contact to clarify needed assistance, with what and when to be accomplished.</w:t>
            </w:r>
          </w:p>
          <w:p w14:paraId="1C2E2BC8" w14:textId="77777777" w:rsidR="0049604E" w:rsidRDefault="0049604E" w:rsidP="001F2AAB">
            <w:pPr>
              <w:jc w:val="both"/>
              <w:rPr>
                <w:rFonts w:ascii="Arial" w:hAnsi="Arial"/>
                <w:sz w:val="20"/>
              </w:rPr>
            </w:pPr>
          </w:p>
          <w:p w14:paraId="1C2E2BC9" w14:textId="77777777" w:rsidR="0049604E" w:rsidRPr="004C7447" w:rsidRDefault="0049604E" w:rsidP="001F2AAB">
            <w:pPr>
              <w:jc w:val="both"/>
              <w:rPr>
                <w:rFonts w:ascii="Arial" w:hAnsi="Arial"/>
                <w:sz w:val="20"/>
              </w:rPr>
            </w:pPr>
          </w:p>
        </w:tc>
      </w:tr>
      <w:tr w:rsidR="0049604E" w14:paraId="1C2E2BCD" w14:textId="77777777" w:rsidTr="001F2AAB">
        <w:tc>
          <w:tcPr>
            <w:tcW w:w="1696" w:type="dxa"/>
          </w:tcPr>
          <w:p w14:paraId="1C2E2BCB" w14:textId="77777777" w:rsidR="0049604E" w:rsidRDefault="0049604E" w:rsidP="001F2AAB">
            <w:pPr>
              <w:jc w:val="both"/>
              <w:rPr>
                <w:rFonts w:ascii="Arial" w:hAnsi="Arial" w:cs="Arial"/>
                <w:b/>
                <w:bCs/>
              </w:rPr>
            </w:pPr>
            <w:r>
              <w:rPr>
                <w:rFonts w:ascii="Arial" w:hAnsi="Arial" w:cs="Arial"/>
                <w:b/>
                <w:bCs/>
              </w:rPr>
              <w:t>NOTE:</w:t>
            </w:r>
          </w:p>
        </w:tc>
        <w:tc>
          <w:tcPr>
            <w:tcW w:w="7664" w:type="dxa"/>
          </w:tcPr>
          <w:p w14:paraId="1C2E2BCC" w14:textId="77777777" w:rsidR="0049604E" w:rsidRPr="00CA6C68" w:rsidRDefault="0049604E" w:rsidP="001F2AAB">
            <w:pPr>
              <w:jc w:val="both"/>
              <w:rPr>
                <w:rFonts w:ascii="Arial" w:hAnsi="Arial"/>
                <w:sz w:val="20"/>
              </w:rPr>
            </w:pPr>
          </w:p>
        </w:tc>
      </w:tr>
      <w:tr w:rsidR="0049604E" w14:paraId="1C2E2BD1" w14:textId="77777777" w:rsidTr="001F2AAB">
        <w:trPr>
          <w:trHeight w:val="405"/>
        </w:trPr>
        <w:tc>
          <w:tcPr>
            <w:tcW w:w="1696" w:type="dxa"/>
          </w:tcPr>
          <w:p w14:paraId="1C2E2BCE" w14:textId="77777777" w:rsidR="0049604E" w:rsidRDefault="0049604E" w:rsidP="001F2AAB">
            <w:pPr>
              <w:jc w:val="both"/>
              <w:rPr>
                <w:rFonts w:ascii="Arial" w:hAnsi="Arial" w:cs="Arial"/>
                <w:b/>
                <w:bCs/>
              </w:rPr>
            </w:pPr>
            <w:r>
              <w:rPr>
                <w:rFonts w:ascii="Arial" w:hAnsi="Arial" w:cs="Arial"/>
                <w:b/>
                <w:bCs/>
              </w:rPr>
              <w:t>FORMS:</w:t>
            </w:r>
          </w:p>
          <w:p w14:paraId="1C2E2BCF" w14:textId="77777777" w:rsidR="0049604E" w:rsidRDefault="0049604E" w:rsidP="001F2AAB">
            <w:pPr>
              <w:jc w:val="both"/>
              <w:rPr>
                <w:rFonts w:ascii="Arial" w:hAnsi="Arial" w:cs="Arial"/>
                <w:b/>
                <w:bCs/>
              </w:rPr>
            </w:pPr>
          </w:p>
        </w:tc>
        <w:tc>
          <w:tcPr>
            <w:tcW w:w="7664" w:type="dxa"/>
          </w:tcPr>
          <w:p w14:paraId="1C2E2BD0" w14:textId="77777777" w:rsidR="0049604E" w:rsidRPr="00CA6C68" w:rsidRDefault="0049604E" w:rsidP="001F2AAB">
            <w:pPr>
              <w:pStyle w:val="BodyText"/>
              <w:rPr>
                <w:sz w:val="20"/>
              </w:rPr>
            </w:pPr>
            <w:r>
              <w:rPr>
                <w:sz w:val="20"/>
              </w:rPr>
              <w:t>Body Release Form on shelf.</w:t>
            </w:r>
          </w:p>
        </w:tc>
      </w:tr>
    </w:tbl>
    <w:p w14:paraId="1C2E2BD2" w14:textId="77777777" w:rsidR="000926A9" w:rsidRDefault="0049604E">
      <w:r>
        <w:rPr>
          <w:rFonts w:ascii="Arial" w:hAnsi="Arial" w:cs="Arial"/>
          <w:sz w:val="16"/>
        </w:rPr>
        <w:t xml:space="preserve">Approved by:  David E Kintz Jr   </w:t>
      </w:r>
      <w:smartTag w:uri="urn:schemas-microsoft-com:office:smarttags" w:element="place">
        <w:smartTag w:uri="urn:schemas-microsoft-com:office:smarttags" w:element="PlaceType">
          <w:r>
            <w:rPr>
              <w:rFonts w:ascii="Arial" w:hAnsi="Arial" w:cs="Arial"/>
              <w:sz w:val="16"/>
            </w:rPr>
            <w:t>Park</w:t>
          </w:r>
        </w:smartTag>
        <w:r>
          <w:rPr>
            <w:rFonts w:ascii="Arial" w:hAnsi="Arial" w:cs="Arial"/>
            <w:sz w:val="16"/>
          </w:rPr>
          <w:t xml:space="preserve"> </w:t>
        </w:r>
        <w:smartTag w:uri="urn:schemas-microsoft-com:office:smarttags" w:element="PlaceType">
          <w:r>
            <w:rPr>
              <w:rFonts w:ascii="Arial" w:hAnsi="Arial" w:cs="Arial"/>
              <w:sz w:val="16"/>
            </w:rPr>
            <w:t>County</w:t>
          </w:r>
        </w:smartTag>
      </w:smartTag>
      <w:r>
        <w:rPr>
          <w:rFonts w:ascii="Arial" w:hAnsi="Arial" w:cs="Arial"/>
          <w:sz w:val="16"/>
        </w:rPr>
        <w:t xml:space="preserve"> Coroner</w:t>
      </w:r>
    </w:p>
    <w:sectPr w:rsidR="000926A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E2BD5" w14:textId="77777777" w:rsidR="0049604E" w:rsidRDefault="0049604E" w:rsidP="0049604E">
      <w:r>
        <w:separator/>
      </w:r>
    </w:p>
  </w:endnote>
  <w:endnote w:type="continuationSeparator" w:id="0">
    <w:p w14:paraId="1C2E2BD6" w14:textId="77777777" w:rsidR="0049604E" w:rsidRDefault="0049604E" w:rsidP="00496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E2BD3" w14:textId="77777777" w:rsidR="0049604E" w:rsidRDefault="0049604E" w:rsidP="0049604E">
      <w:r>
        <w:separator/>
      </w:r>
    </w:p>
  </w:footnote>
  <w:footnote w:type="continuationSeparator" w:id="0">
    <w:p w14:paraId="1C2E2BD4" w14:textId="77777777" w:rsidR="0049604E" w:rsidRDefault="0049604E" w:rsidP="00496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2BD7" w14:textId="77777777" w:rsidR="0049604E" w:rsidRDefault="0049604E" w:rsidP="0049604E">
    <w:pPr>
      <w:pStyle w:val="Title"/>
      <w:rPr>
        <w:sz w:val="22"/>
      </w:rPr>
    </w:pPr>
    <w:smartTag w:uri="urn:schemas-microsoft-com:office:smarttags" w:element="place">
      <w:smartTag w:uri="urn:schemas-microsoft-com:office:smarttags" w:element="PlaceType">
        <w:r>
          <w:rPr>
            <w:sz w:val="22"/>
          </w:rPr>
          <w:t>Park</w:t>
        </w:r>
      </w:smartTag>
      <w:r>
        <w:rPr>
          <w:sz w:val="22"/>
        </w:rPr>
        <w:t xml:space="preserve"> </w:t>
      </w:r>
      <w:smartTag w:uri="urn:schemas-microsoft-com:office:smarttags" w:element="PlaceType">
        <w:r>
          <w:rPr>
            <w:sz w:val="22"/>
          </w:rPr>
          <w:t>County</w:t>
        </w:r>
      </w:smartTag>
    </w:smartTag>
    <w:r>
      <w:rPr>
        <w:sz w:val="22"/>
      </w:rPr>
      <w:t xml:space="preserve"> </w:t>
    </w:r>
    <w:proofErr w:type="spellStart"/>
    <w:r>
      <w:rPr>
        <w:sz w:val="22"/>
      </w:rPr>
      <w:t>Coroners</w:t>
    </w:r>
    <w:proofErr w:type="spellEnd"/>
    <w:r>
      <w:rPr>
        <w:sz w:val="22"/>
      </w:rPr>
      <w:t xml:space="preserve"> Office</w:t>
    </w:r>
  </w:p>
  <w:p w14:paraId="1C2E2BD8" w14:textId="77777777" w:rsidR="0049604E" w:rsidRDefault="0049604E" w:rsidP="0049604E">
    <w:pPr>
      <w:pStyle w:val="Title"/>
      <w:rPr>
        <w:sz w:val="22"/>
      </w:rPr>
    </w:pPr>
  </w:p>
  <w:p w14:paraId="1C2E2BD9" w14:textId="77777777" w:rsidR="0049604E" w:rsidRDefault="0049604E" w:rsidP="0049604E">
    <w:pPr>
      <w:pStyle w:val="Title"/>
      <w:rPr>
        <w:sz w:val="22"/>
        <w:u w:val="single"/>
      </w:rPr>
    </w:pPr>
  </w:p>
  <w:p w14:paraId="1C2E2BDA" w14:textId="77777777" w:rsidR="0049604E" w:rsidRPr="00101248" w:rsidRDefault="0049604E" w:rsidP="0049604E">
    <w:pPr>
      <w:pStyle w:val="Title"/>
      <w:rPr>
        <w:sz w:val="22"/>
        <w:u w:val="single"/>
      </w:rPr>
    </w:pPr>
    <w:r>
      <w:rPr>
        <w:sz w:val="22"/>
        <w:u w:val="single"/>
      </w:rPr>
      <w:t>Interoffice Communication</w:t>
    </w:r>
  </w:p>
  <w:p w14:paraId="1C2E2BDB" w14:textId="77777777" w:rsidR="0049604E" w:rsidRDefault="0049604E" w:rsidP="0049604E">
    <w:pPr>
      <w:pStyle w:val="Title"/>
      <w:rPr>
        <w:sz w:val="22"/>
      </w:rPr>
    </w:pPr>
  </w:p>
  <w:p w14:paraId="1C2E2BDC" w14:textId="77777777" w:rsidR="0049604E" w:rsidRPr="002F6995" w:rsidRDefault="0049604E" w:rsidP="0049604E">
    <w:pPr>
      <w:pStyle w:val="Heading1"/>
      <w:rPr>
        <w:u w:val="single"/>
      </w:rPr>
    </w:pPr>
  </w:p>
  <w:p w14:paraId="1C2E2BDD" w14:textId="77777777" w:rsidR="0049604E" w:rsidRDefault="004960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71C4A"/>
    <w:multiLevelType w:val="hybridMultilevel"/>
    <w:tmpl w:val="A35EB444"/>
    <w:lvl w:ilvl="0" w:tplc="FFFFFFFF">
      <w:start w:val="1"/>
      <w:numFmt w:val="decimal"/>
      <w:lvlText w:val="%1."/>
      <w:lvlJc w:val="left"/>
      <w:pPr>
        <w:tabs>
          <w:tab w:val="num" w:pos="720"/>
        </w:tabs>
        <w:ind w:left="720" w:hanging="360"/>
      </w:pPr>
    </w:lvl>
    <w:lvl w:ilvl="1" w:tplc="3EEC784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528182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04E"/>
    <w:rsid w:val="000926A9"/>
    <w:rsid w:val="00360E11"/>
    <w:rsid w:val="0049604E"/>
    <w:rsid w:val="00A35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1C2E2BAD"/>
  <w15:docId w15:val="{CBA533B5-59BB-476A-ABF0-E4B36E61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0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9604E"/>
    <w:pPr>
      <w:keepNext/>
      <w:jc w:val="center"/>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49604E"/>
    <w:pPr>
      <w:jc w:val="both"/>
    </w:pPr>
    <w:rPr>
      <w:rFonts w:ascii="Arial" w:hAnsi="Arial"/>
      <w:sz w:val="22"/>
      <w:szCs w:val="20"/>
    </w:rPr>
  </w:style>
  <w:style w:type="character" w:customStyle="1" w:styleId="BodyTextChar">
    <w:name w:val="Body Text Char"/>
    <w:basedOn w:val="DefaultParagraphFont"/>
    <w:link w:val="BodyText"/>
    <w:semiHidden/>
    <w:rsid w:val="0049604E"/>
    <w:rPr>
      <w:rFonts w:ascii="Arial" w:eastAsia="Times New Roman" w:hAnsi="Arial" w:cs="Times New Roman"/>
      <w:szCs w:val="20"/>
    </w:rPr>
  </w:style>
  <w:style w:type="paragraph" w:styleId="Header">
    <w:name w:val="header"/>
    <w:basedOn w:val="Normal"/>
    <w:link w:val="HeaderChar"/>
    <w:uiPriority w:val="99"/>
    <w:unhideWhenUsed/>
    <w:rsid w:val="0049604E"/>
    <w:pPr>
      <w:tabs>
        <w:tab w:val="center" w:pos="4680"/>
        <w:tab w:val="right" w:pos="9360"/>
      </w:tabs>
    </w:pPr>
  </w:style>
  <w:style w:type="character" w:customStyle="1" w:styleId="HeaderChar">
    <w:name w:val="Header Char"/>
    <w:basedOn w:val="DefaultParagraphFont"/>
    <w:link w:val="Header"/>
    <w:uiPriority w:val="99"/>
    <w:rsid w:val="0049604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9604E"/>
    <w:pPr>
      <w:tabs>
        <w:tab w:val="center" w:pos="4680"/>
        <w:tab w:val="right" w:pos="9360"/>
      </w:tabs>
    </w:pPr>
  </w:style>
  <w:style w:type="character" w:customStyle="1" w:styleId="FooterChar">
    <w:name w:val="Footer Char"/>
    <w:basedOn w:val="DefaultParagraphFont"/>
    <w:link w:val="Footer"/>
    <w:uiPriority w:val="99"/>
    <w:rsid w:val="0049604E"/>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9604E"/>
    <w:rPr>
      <w:rFonts w:ascii="Arial" w:eastAsia="Times New Roman" w:hAnsi="Arial" w:cs="Arial"/>
      <w:b/>
      <w:bCs/>
      <w:szCs w:val="24"/>
    </w:rPr>
  </w:style>
  <w:style w:type="paragraph" w:styleId="Title">
    <w:name w:val="Title"/>
    <w:basedOn w:val="Normal"/>
    <w:link w:val="TitleChar"/>
    <w:qFormat/>
    <w:rsid w:val="0049604E"/>
    <w:pPr>
      <w:jc w:val="center"/>
    </w:pPr>
    <w:rPr>
      <w:rFonts w:ascii="Arial" w:hAnsi="Arial" w:cs="Arial"/>
      <w:b/>
      <w:bCs/>
    </w:rPr>
  </w:style>
  <w:style w:type="character" w:customStyle="1" w:styleId="TitleChar">
    <w:name w:val="Title Char"/>
    <w:basedOn w:val="DefaultParagraphFont"/>
    <w:link w:val="Title"/>
    <w:rsid w:val="0049604E"/>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ef27eb8-0e3d-496f-b523-771757bdd770">
      <Terms xmlns="http://schemas.microsoft.com/office/infopath/2007/PartnerControls"/>
    </lcf76f155ced4ddcb4097134ff3c332f>
    <TaxCatchAll xmlns="8416942f-d982-4ba4-a5b0-104826b4be2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E5814883B49940B4B8AAE202A6E984" ma:contentTypeVersion="15" ma:contentTypeDescription="Create a new document." ma:contentTypeScope="" ma:versionID="85764bbacce00c40b608bb72323954df">
  <xsd:schema xmlns:xsd="http://www.w3.org/2001/XMLSchema" xmlns:xs="http://www.w3.org/2001/XMLSchema" xmlns:p="http://schemas.microsoft.com/office/2006/metadata/properties" xmlns:ns2="8ef27eb8-0e3d-496f-b523-771757bdd770" xmlns:ns3="8416942f-d982-4ba4-a5b0-104826b4be24" targetNamespace="http://schemas.microsoft.com/office/2006/metadata/properties" ma:root="true" ma:fieldsID="1694ac8198207d600732ada49f624893" ns2:_="" ns3:_="">
    <xsd:import namespace="8ef27eb8-0e3d-496f-b523-771757bdd770"/>
    <xsd:import namespace="8416942f-d982-4ba4-a5b0-104826b4be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27eb8-0e3d-496f-b523-771757bdd7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16942f-d982-4ba4-a5b0-104826b4be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d50615b-cec2-4d56-b65e-8f4b56f4a57f}" ma:internalName="TaxCatchAll" ma:showField="CatchAllData" ma:web="8416942f-d982-4ba4-a5b0-104826b4b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118573-5006-4E1F-8B82-84513BE726F8}">
  <ds:schemaRefs>
    <ds:schemaRef ds:uri="http://schemas.microsoft.com/office/2006/metadata/properties"/>
    <ds:schemaRef ds:uri="http://schemas.microsoft.com/office/infopath/2007/PartnerControls"/>
    <ds:schemaRef ds:uri="http://purl.org/dc/dcmitype/"/>
    <ds:schemaRef ds:uri="http://schemas.microsoft.com/office/2006/documentManagement/types"/>
    <ds:schemaRef ds:uri="http://purl.org/dc/terms/"/>
    <ds:schemaRef ds:uri="8416942f-d982-4ba4-a5b0-104826b4be24"/>
    <ds:schemaRef ds:uri="http://purl.org/dc/elements/1.1/"/>
    <ds:schemaRef ds:uri="http://schemas.openxmlformats.org/package/2006/metadata/core-properties"/>
    <ds:schemaRef ds:uri="8ef27eb8-0e3d-496f-b523-771757bdd770"/>
    <ds:schemaRef ds:uri="http://www.w3.org/XML/1998/namespace"/>
  </ds:schemaRefs>
</ds:datastoreItem>
</file>

<file path=customXml/itemProps2.xml><?xml version="1.0" encoding="utf-8"?>
<ds:datastoreItem xmlns:ds="http://schemas.openxmlformats.org/officeDocument/2006/customXml" ds:itemID="{6C689ECF-8F13-4DD0-83C3-38C3EF804798}">
  <ds:schemaRefs>
    <ds:schemaRef ds:uri="http://schemas.microsoft.com/sharepoint/v3/contenttype/forms"/>
  </ds:schemaRefs>
</ds:datastoreItem>
</file>

<file path=customXml/itemProps3.xml><?xml version="1.0" encoding="utf-8"?>
<ds:datastoreItem xmlns:ds="http://schemas.openxmlformats.org/officeDocument/2006/customXml" ds:itemID="{608928BA-9F66-4551-9A6D-7991C6728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27eb8-0e3d-496f-b523-771757bdd770"/>
    <ds:schemaRef ds:uri="8416942f-d982-4ba4-a5b0-104826b4b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1145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Park County Government</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Comstock</dc:creator>
  <cp:lastModifiedBy>Chisholm, Yujiemi</cp:lastModifiedBy>
  <cp:revision>2</cp:revision>
  <dcterms:created xsi:type="dcterms:W3CDTF">2025-06-02T12:10:00Z</dcterms:created>
  <dcterms:modified xsi:type="dcterms:W3CDTF">2025-06-02T12:10:00Z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0x0101002FE5814883B49940B4B8AAE202A6E984</vt:lpwstr>
  </property>
</Properties>
</file>